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638657CD" w:rsidR="008A22CF" w:rsidRPr="004A3348" w:rsidRDefault="008A22CF" w:rsidP="008A22CF">
      <w:pPr>
        <w:pStyle w:val="3GPPHeader"/>
        <w:spacing w:after="60"/>
      </w:pPr>
      <w:bookmarkStart w:id="0" w:name="_Hlk487029736"/>
      <w:bookmarkEnd w:id="0"/>
      <w:r w:rsidRPr="001A5974">
        <w:t>3GPP TSG-RAN WG4</w:t>
      </w:r>
      <w:r w:rsidR="001D4850" w:rsidRPr="001A5974">
        <w:t xml:space="preserve"> Meeting</w:t>
      </w:r>
      <w:r w:rsidR="005071CC" w:rsidRPr="001A5974">
        <w:t xml:space="preserve"> </w:t>
      </w:r>
      <w:r w:rsidR="00837AD9" w:rsidRPr="00C0585F">
        <w:rPr>
          <w:rFonts w:eastAsia="PMingLiU" w:cs="Arial"/>
          <w:color w:val="000000" w:themeColor="text1"/>
          <w:sz w:val="22"/>
          <w:lang w:eastAsia="ja-JP"/>
        </w:rPr>
        <w:t>#</w:t>
      </w:r>
      <w:bookmarkStart w:id="1" w:name="_Hlk110436944"/>
      <w:r w:rsidR="00837AD9" w:rsidRPr="00C0585F">
        <w:rPr>
          <w:rFonts w:eastAsia="PMingLiU" w:cs="Arial"/>
          <w:color w:val="000000" w:themeColor="text1"/>
          <w:sz w:val="22"/>
          <w:lang w:eastAsia="ja-JP"/>
        </w:rPr>
        <w:t>1</w:t>
      </w:r>
      <w:r w:rsidR="00F80EC7">
        <w:rPr>
          <w:rFonts w:eastAsia="PMingLiU" w:cs="Arial"/>
          <w:color w:val="000000" w:themeColor="text1"/>
          <w:sz w:val="22"/>
          <w:lang w:eastAsia="ja-JP"/>
        </w:rPr>
        <w:t>1</w:t>
      </w:r>
      <w:r w:rsidR="00837AD9" w:rsidRPr="00C0585F">
        <w:rPr>
          <w:rFonts w:eastAsia="PMingLiU" w:cs="Arial"/>
          <w:color w:val="000000" w:themeColor="text1"/>
          <w:sz w:val="22"/>
          <w:lang w:eastAsia="ja-JP"/>
        </w:rPr>
        <w:t>0</w:t>
      </w:r>
      <w:bookmarkEnd w:id="1"/>
      <w:r w:rsidRPr="001A5974">
        <w:tab/>
      </w:r>
      <w:r w:rsidR="005863F3" w:rsidRPr="005863F3">
        <w:t>R4-</w:t>
      </w:r>
      <w:r w:rsidR="00383317">
        <w:t>2</w:t>
      </w:r>
      <w:r w:rsidR="00157E80">
        <w:t>40</w:t>
      </w:r>
      <w:r w:rsidR="003F7412">
        <w:t>2609</w:t>
      </w:r>
    </w:p>
    <w:p w14:paraId="65F55581" w14:textId="29A06FDC" w:rsidR="008A22CF" w:rsidRPr="00C0585F" w:rsidRDefault="00157E80" w:rsidP="008A22CF">
      <w:pPr>
        <w:pStyle w:val="3GPPHeader"/>
      </w:pPr>
      <w:r>
        <w:t>Athens</w:t>
      </w:r>
      <w:r w:rsidR="005D7692" w:rsidRPr="005D7692">
        <w:t xml:space="preserve">, </w:t>
      </w:r>
      <w:r>
        <w:t>Greece</w:t>
      </w:r>
      <w:r w:rsidR="005D7692" w:rsidRPr="005D7692">
        <w:t xml:space="preserve">, </w:t>
      </w:r>
      <w:r>
        <w:t>Feb</w:t>
      </w:r>
      <w:r w:rsidR="005D7692" w:rsidRPr="005D7692">
        <w:t xml:space="preserve"> </w:t>
      </w:r>
      <w:r>
        <w:t>26</w:t>
      </w:r>
      <w:r w:rsidR="00283A9C">
        <w:rPr>
          <w:vertAlign w:val="superscript"/>
        </w:rPr>
        <w:t>t</w:t>
      </w:r>
      <w:r w:rsidR="004165FE">
        <w:rPr>
          <w:vertAlign w:val="superscript"/>
        </w:rPr>
        <w:t>h</w:t>
      </w:r>
      <w:r w:rsidR="002464EE">
        <w:t xml:space="preserve"> </w:t>
      </w:r>
      <w:r w:rsidR="005D7692" w:rsidRPr="005D7692">
        <w:t xml:space="preserve">– </w:t>
      </w:r>
      <w:r>
        <w:t>Mar 1</w:t>
      </w:r>
      <w:r>
        <w:rPr>
          <w:vertAlign w:val="superscript"/>
        </w:rPr>
        <w:t>st</w:t>
      </w:r>
      <w:r w:rsidR="005D7692" w:rsidRPr="005D7692">
        <w:t>, 202</w:t>
      </w:r>
      <w:r>
        <w:t>4</w:t>
      </w:r>
      <w:r w:rsidR="002464EE">
        <w:t xml:space="preserve"> </w:t>
      </w:r>
    </w:p>
    <w:p w14:paraId="2D8C5D3B" w14:textId="77777777" w:rsidR="00837AD9" w:rsidRPr="00C0585F" w:rsidRDefault="00837AD9" w:rsidP="008A22CF">
      <w:pPr>
        <w:pStyle w:val="3GPPHeader"/>
      </w:pPr>
    </w:p>
    <w:p w14:paraId="0FDE225D" w14:textId="26AF3C5B" w:rsidR="008A22CF" w:rsidRPr="00730B3B" w:rsidRDefault="008A22CF" w:rsidP="008A22CF">
      <w:pPr>
        <w:pStyle w:val="3GPPHeader"/>
        <w:rPr>
          <w:sz w:val="22"/>
        </w:rPr>
      </w:pPr>
      <w:r w:rsidRPr="00730B3B">
        <w:rPr>
          <w:sz w:val="22"/>
        </w:rPr>
        <w:t>Agenda Item:</w:t>
      </w:r>
      <w:r w:rsidRPr="00730B3B">
        <w:rPr>
          <w:sz w:val="22"/>
        </w:rPr>
        <w:tab/>
      </w:r>
      <w:r w:rsidR="008E5AFB">
        <w:rPr>
          <w:sz w:val="22"/>
        </w:rPr>
        <w:t>6</w:t>
      </w:r>
      <w:r w:rsidR="00563003">
        <w:rPr>
          <w:sz w:val="22"/>
        </w:rPr>
        <w:t>.</w:t>
      </w:r>
      <w:r w:rsidR="008E5AFB">
        <w:rPr>
          <w:sz w:val="22"/>
        </w:rPr>
        <w:t>3.1</w:t>
      </w:r>
    </w:p>
    <w:p w14:paraId="57D8FDDC" w14:textId="4993D1F6" w:rsidR="008A22CF" w:rsidRPr="001A5974" w:rsidRDefault="008A22CF" w:rsidP="008A22CF">
      <w:pPr>
        <w:pStyle w:val="3GPPHeader"/>
        <w:rPr>
          <w:sz w:val="22"/>
        </w:rPr>
      </w:pPr>
      <w:r w:rsidRPr="001A5974">
        <w:rPr>
          <w:sz w:val="22"/>
        </w:rPr>
        <w:t>Source:</w:t>
      </w:r>
      <w:r w:rsidRPr="001A5974">
        <w:rPr>
          <w:sz w:val="22"/>
        </w:rPr>
        <w:tab/>
      </w:r>
      <w:r w:rsidR="00837AD9" w:rsidRPr="00837AD9">
        <w:rPr>
          <w:sz w:val="22"/>
        </w:rPr>
        <w:t>MediaTek Inc.</w:t>
      </w:r>
    </w:p>
    <w:p w14:paraId="3A8FC3FA" w14:textId="4E18EB7B" w:rsidR="008A22CF" w:rsidRPr="001A5974" w:rsidRDefault="008A22CF" w:rsidP="0060526C">
      <w:pPr>
        <w:pStyle w:val="3GPPHeader"/>
        <w:ind w:left="1701" w:hanging="1701"/>
        <w:rPr>
          <w:sz w:val="22"/>
        </w:rPr>
      </w:pPr>
      <w:r w:rsidRPr="001A5974">
        <w:rPr>
          <w:sz w:val="22"/>
        </w:rPr>
        <w:t>Title:</w:t>
      </w:r>
      <w:r w:rsidR="0060526C">
        <w:rPr>
          <w:sz w:val="22"/>
        </w:rPr>
        <w:t xml:space="preserve"> </w:t>
      </w:r>
      <w:r w:rsidR="0060526C">
        <w:rPr>
          <w:sz w:val="22"/>
        </w:rPr>
        <w:tab/>
      </w:r>
      <w:r w:rsidR="008E5AFB" w:rsidRPr="008E5AFB">
        <w:rPr>
          <w:sz w:val="22"/>
        </w:rPr>
        <w:t>Discussion on improved REFSENS for 2Rx non-REDCAP XR devices</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3527941" w14:textId="4DD396EB" w:rsidR="007B0705" w:rsidRDefault="00484223" w:rsidP="00563003">
      <w:pPr>
        <w:jc w:val="both"/>
      </w:pPr>
      <w:bookmarkStart w:id="2" w:name="OLE_LINK13"/>
      <w:r>
        <w:t xml:space="preserve">In order address concerns from operators on 2Rx performance for non-RedCap XR devices, </w:t>
      </w:r>
      <w:r w:rsidR="007B0705">
        <w:t>RAN#</w:t>
      </w:r>
      <w:r>
        <w:t xml:space="preserve">102 tasked RAN4 to check the feasibility of tightened REFSENS </w:t>
      </w:r>
      <w:r w:rsidR="0081341F">
        <w:t xml:space="preserve">requirements </w:t>
      </w:r>
      <w:r>
        <w:t xml:space="preserve">and if </w:t>
      </w:r>
      <w:r w:rsidR="0014199D">
        <w:t>feasible</w:t>
      </w:r>
      <w:r>
        <w:t xml:space="preserve"> submit Rel-18 CRs to the next RAN plenary [1]</w:t>
      </w:r>
      <w:r w:rsidR="00FF5443">
        <w:t>:</w:t>
      </w:r>
    </w:p>
    <w:tbl>
      <w:tblPr>
        <w:tblStyle w:val="TableGrid"/>
        <w:tblW w:w="0" w:type="auto"/>
        <w:tblLook w:val="04A0" w:firstRow="1" w:lastRow="0" w:firstColumn="1" w:lastColumn="0" w:noHBand="0" w:noVBand="1"/>
      </w:tblPr>
      <w:tblGrid>
        <w:gridCol w:w="9629"/>
      </w:tblGrid>
      <w:tr w:rsidR="00FF5443" w:rsidRPr="00FF5443" w14:paraId="3A1277BC" w14:textId="77777777" w:rsidTr="00FF5443">
        <w:tc>
          <w:tcPr>
            <w:tcW w:w="9629" w:type="dxa"/>
          </w:tcPr>
          <w:p w14:paraId="74A66545" w14:textId="77777777" w:rsidR="00FF5443" w:rsidRPr="00FF5443" w:rsidRDefault="00FF5443" w:rsidP="00FF5443">
            <w:pPr>
              <w:contextualSpacing/>
              <w:rPr>
                <w:rFonts w:eastAsiaTheme="minorHAnsi"/>
                <w:i/>
                <w:iCs/>
                <w:kern w:val="0"/>
                <w:sz w:val="20"/>
                <w:szCs w:val="20"/>
                <w:lang w:eastAsia="en-US"/>
                <w14:ligatures w14:val="none"/>
              </w:rPr>
            </w:pPr>
          </w:p>
          <w:p w14:paraId="2E87FA55" w14:textId="527FA744" w:rsidR="00FF5443" w:rsidRPr="00FF5443" w:rsidRDefault="00FF5443" w:rsidP="00FF5443">
            <w:pPr>
              <w:pStyle w:val="ListParagraph"/>
              <w:numPr>
                <w:ilvl w:val="0"/>
                <w:numId w:val="3"/>
              </w:numPr>
              <w:contextualSpacing/>
              <w:rPr>
                <w:rFonts w:eastAsiaTheme="minorHAnsi"/>
                <w:i/>
                <w:iCs/>
                <w:kern w:val="0"/>
                <w:sz w:val="20"/>
                <w:szCs w:val="20"/>
                <w:lang w:eastAsia="en-US"/>
                <w14:ligatures w14:val="none"/>
              </w:rPr>
            </w:pPr>
            <w:r w:rsidRPr="00FF5443">
              <w:rPr>
                <w:rFonts w:eastAsiaTheme="minorHAnsi"/>
                <w:b/>
                <w:bCs/>
                <w:i/>
                <w:iCs/>
                <w:kern w:val="0"/>
                <w:sz w:val="20"/>
                <w:szCs w:val="20"/>
                <w:u w:val="single"/>
                <w:lang w:eastAsia="en-US"/>
                <w14:ligatures w14:val="none"/>
              </w:rPr>
              <w:t>Task RAN4</w:t>
            </w:r>
            <w:r w:rsidRPr="00FF5443">
              <w:rPr>
                <w:rFonts w:eastAsiaTheme="minorHAnsi"/>
                <w:i/>
                <w:iCs/>
                <w:kern w:val="0"/>
                <w:sz w:val="20"/>
                <w:szCs w:val="20"/>
                <w:lang w:eastAsia="en-US"/>
                <w14:ligatures w14:val="none"/>
              </w:rPr>
              <w:t xml:space="preserve"> to develop Release-18 draft CR(s) to RAN#103 for ‘2Rx non-REDCAP XR devices’:</w:t>
            </w:r>
          </w:p>
          <w:p w14:paraId="319B68DE" w14:textId="77777777" w:rsidR="00FF5443" w:rsidRPr="00FF5443" w:rsidRDefault="00FF5443" w:rsidP="00FF5443">
            <w:pPr>
              <w:numPr>
                <w:ilvl w:val="0"/>
                <w:numId w:val="37"/>
              </w:numPr>
              <w:ind w:left="720"/>
              <w:contextualSpacing/>
              <w:rPr>
                <w:rFonts w:eastAsiaTheme="minorHAnsi"/>
                <w:i/>
                <w:iCs/>
                <w:kern w:val="0"/>
                <w:sz w:val="20"/>
                <w:szCs w:val="20"/>
                <w:lang w:eastAsia="en-US"/>
                <w14:ligatures w14:val="none"/>
              </w:rPr>
            </w:pPr>
            <w:r w:rsidRPr="00FF5443">
              <w:rPr>
                <w:rFonts w:eastAsiaTheme="minorHAnsi"/>
                <w:i/>
                <w:iCs/>
                <w:kern w:val="0"/>
                <w:sz w:val="20"/>
                <w:szCs w:val="20"/>
                <w:lang w:eastAsia="en-US"/>
                <w14:ligatures w14:val="none"/>
              </w:rPr>
              <w:t>Capture the definition of 2Rx non-REDCAP XR devices in [38.101-1] using the definition from RAN#101 (c.f. RP-232657)</w:t>
            </w:r>
          </w:p>
          <w:p w14:paraId="3212EC42" w14:textId="77777777" w:rsidR="00FF5443" w:rsidRPr="00FF5443" w:rsidRDefault="00FF5443" w:rsidP="00FF5443">
            <w:pPr>
              <w:numPr>
                <w:ilvl w:val="0"/>
                <w:numId w:val="37"/>
              </w:numPr>
              <w:ind w:left="720"/>
              <w:contextualSpacing/>
              <w:rPr>
                <w:rFonts w:eastAsiaTheme="minorHAnsi"/>
                <w:i/>
                <w:iCs/>
                <w:kern w:val="0"/>
                <w:sz w:val="20"/>
                <w:szCs w:val="20"/>
                <w:lang w:eastAsia="en-US"/>
                <w14:ligatures w14:val="none"/>
              </w:rPr>
            </w:pPr>
            <w:r w:rsidRPr="00FF5443">
              <w:rPr>
                <w:rFonts w:eastAsiaTheme="minorHAnsi"/>
                <w:i/>
                <w:iCs/>
                <w:kern w:val="0"/>
                <w:sz w:val="20"/>
                <w:szCs w:val="20"/>
                <w:lang w:eastAsia="en-US"/>
                <w14:ligatures w14:val="none"/>
              </w:rPr>
              <w:t>Determine the feasibility of tightened 2Rx REFSENS requirements (in relation to existing 2Rx and 4Rx REFSENS) for the bands where 4Rx is mandatory and provide the feasible REFSENS values. RAN4 shall consider both conducted requirements as well as OTA considerations.</w:t>
            </w:r>
          </w:p>
          <w:p w14:paraId="1888257A" w14:textId="77777777" w:rsidR="00FF5443" w:rsidRPr="00FF5443" w:rsidRDefault="00FF5443" w:rsidP="00563003">
            <w:pPr>
              <w:jc w:val="both"/>
              <w:rPr>
                <w:i/>
                <w:iCs/>
                <w:sz w:val="20"/>
                <w:szCs w:val="20"/>
              </w:rPr>
            </w:pPr>
          </w:p>
        </w:tc>
      </w:tr>
    </w:tbl>
    <w:p w14:paraId="504E0D1D" w14:textId="77777777" w:rsidR="00FF5443" w:rsidRDefault="00FF5443" w:rsidP="00563003">
      <w:pPr>
        <w:jc w:val="both"/>
      </w:pPr>
    </w:p>
    <w:p w14:paraId="4A0E8A91" w14:textId="73F4AA1B" w:rsidR="007B0705" w:rsidRPr="000E2CCA" w:rsidRDefault="00563003" w:rsidP="006D75DD">
      <w:pPr>
        <w:jc w:val="both"/>
      </w:pPr>
      <w:r>
        <w:t>I</w:t>
      </w:r>
      <w:r w:rsidR="007B0705">
        <w:t>n this contribution, we</w:t>
      </w:r>
      <w:r w:rsidR="00A06384">
        <w:t xml:space="preserve"> propose a </w:t>
      </w:r>
      <w:r w:rsidR="005F1846">
        <w:t>specification</w:t>
      </w:r>
      <w:r w:rsidR="00A06384">
        <w:t xml:space="preserve"> text for defining 2Rx non-RedCap XR </w:t>
      </w:r>
      <w:r w:rsidR="005F1846">
        <w:t xml:space="preserve">Wearable </w:t>
      </w:r>
      <w:r w:rsidR="00A06384">
        <w:t>devices, and further suggest not to tighten conducted REFSENS for such a type of devices</w:t>
      </w:r>
      <w:r w:rsidR="00EF2D0E">
        <w:t xml:space="preserve"> due to technical and implementation challenges</w:t>
      </w:r>
      <w:r w:rsidR="00922E3B">
        <w:t xml:space="preserve"> at this stage</w:t>
      </w:r>
      <w:r w:rsidR="00A06384">
        <w:t>.</w:t>
      </w:r>
    </w:p>
    <w:bookmarkEnd w:id="2"/>
    <w:p w14:paraId="63B30870" w14:textId="4BF8043D" w:rsidR="006913F6" w:rsidRDefault="006913F6" w:rsidP="00190366">
      <w:pPr>
        <w:pStyle w:val="Heading1"/>
        <w:numPr>
          <w:ilvl w:val="0"/>
          <w:numId w:val="38"/>
        </w:numPr>
        <w:rPr>
          <w:lang w:val="en-US"/>
        </w:rPr>
      </w:pPr>
      <w:r w:rsidRPr="009011F0">
        <w:rPr>
          <w:lang w:val="en-US"/>
        </w:rPr>
        <w:t>Discussion</w:t>
      </w:r>
    </w:p>
    <w:p w14:paraId="2AAF9378" w14:textId="16E3546A" w:rsidR="009C6625" w:rsidRDefault="009C6625" w:rsidP="009C6625">
      <w:pPr>
        <w:pStyle w:val="Heading2"/>
      </w:pPr>
      <w:r>
        <w:t xml:space="preserve">2.1 </w:t>
      </w:r>
      <w:r w:rsidR="00BB5E1C">
        <w:t>Definition of 2Rx non-REDCAP XR devices</w:t>
      </w:r>
      <w:r w:rsidR="00B96E09">
        <w:t xml:space="preserve"> </w:t>
      </w:r>
      <w:r w:rsidR="00F03B10">
        <w:t xml:space="preserve"> </w:t>
      </w:r>
    </w:p>
    <w:p w14:paraId="0FD6554A" w14:textId="166A94FB" w:rsidR="001C17EB" w:rsidRDefault="001C17EB" w:rsidP="00563003">
      <w:pPr>
        <w:jc w:val="both"/>
        <w:rPr>
          <w:bCs/>
        </w:rPr>
      </w:pPr>
      <w:r>
        <w:rPr>
          <w:bCs/>
        </w:rPr>
        <w:t xml:space="preserve">In RAN#101, a non-REDCAP XR </w:t>
      </w:r>
      <w:r w:rsidR="005F1846">
        <w:rPr>
          <w:bCs/>
        </w:rPr>
        <w:t xml:space="preserve">Wearable </w:t>
      </w:r>
      <w:r>
        <w:rPr>
          <w:bCs/>
        </w:rPr>
        <w:t>device is allowed for 2Rx relaxation for frequency bands where 4Rx is mandatory if it meets a certain number of conditions [2]:</w:t>
      </w:r>
    </w:p>
    <w:tbl>
      <w:tblPr>
        <w:tblStyle w:val="TableGrid"/>
        <w:tblW w:w="0" w:type="auto"/>
        <w:tblLook w:val="04A0" w:firstRow="1" w:lastRow="0" w:firstColumn="1" w:lastColumn="0" w:noHBand="0" w:noVBand="1"/>
      </w:tblPr>
      <w:tblGrid>
        <w:gridCol w:w="9629"/>
      </w:tblGrid>
      <w:tr w:rsidR="001C17EB" w14:paraId="03823743" w14:textId="77777777" w:rsidTr="001C17EB">
        <w:tc>
          <w:tcPr>
            <w:tcW w:w="9629" w:type="dxa"/>
          </w:tcPr>
          <w:p w14:paraId="358EAB08" w14:textId="77777777" w:rsidR="001C17EB" w:rsidRPr="008157C2" w:rsidRDefault="001C17EB" w:rsidP="001C17EB">
            <w:pPr>
              <w:pStyle w:val="ListParagraph"/>
              <w:numPr>
                <w:ilvl w:val="0"/>
                <w:numId w:val="40"/>
              </w:numPr>
              <w:spacing w:after="0"/>
              <w:contextualSpacing/>
              <w:rPr>
                <w:rFonts w:ascii="Calibri" w:hAnsi="Calibri" w:cs="Calibri"/>
                <w:i/>
                <w:iCs/>
                <w:color w:val="212121"/>
              </w:rPr>
            </w:pPr>
            <w:r w:rsidRPr="008157C2">
              <w:rPr>
                <w:i/>
                <w:iCs/>
              </w:rPr>
              <w:t>Handheld smartphone UEs are excluded from any 2Rx relaxation for XR wearables.</w:t>
            </w:r>
          </w:p>
          <w:p w14:paraId="3D441365" w14:textId="77777777" w:rsidR="001C17EB" w:rsidRPr="00B95EB2" w:rsidRDefault="001C17EB" w:rsidP="001C17EB">
            <w:pPr>
              <w:pStyle w:val="ListParagraph"/>
              <w:spacing w:after="0"/>
              <w:rPr>
                <w:rFonts w:ascii="Calibri" w:hAnsi="Calibri" w:cs="Calibri"/>
                <w:i/>
                <w:iCs/>
                <w:color w:val="212121"/>
              </w:rPr>
            </w:pPr>
            <w:r w:rsidRPr="00B95EB2">
              <w:rPr>
                <w:rFonts w:ascii="Calibri" w:hAnsi="Calibri" w:cs="Calibri"/>
                <w:i/>
                <w:iCs/>
                <w:color w:val="212121"/>
              </w:rPr>
              <w:t xml:space="preserve">The default for non-RedCap XR-wearable </w:t>
            </w:r>
            <w:r>
              <w:rPr>
                <w:rFonts w:ascii="Calibri" w:hAnsi="Calibri" w:cs="Calibri"/>
                <w:i/>
                <w:iCs/>
                <w:color w:val="212121"/>
              </w:rPr>
              <w:t>UEs</w:t>
            </w:r>
            <w:r w:rsidRPr="00B95EB2">
              <w:rPr>
                <w:rFonts w:ascii="Calibri" w:hAnsi="Calibri" w:cs="Calibri"/>
                <w:i/>
                <w:iCs/>
                <w:color w:val="212121"/>
              </w:rPr>
              <w:t xml:space="preserve"> is 4Rx (for frequency bands where 4Rx is mandated).</w:t>
            </w:r>
          </w:p>
          <w:p w14:paraId="77A8DA16" w14:textId="77777777" w:rsidR="001C17EB" w:rsidRPr="00B95EB2" w:rsidRDefault="001C17EB" w:rsidP="001C17EB">
            <w:pPr>
              <w:pStyle w:val="ListParagraph"/>
              <w:spacing w:after="0"/>
              <w:rPr>
                <w:rFonts w:ascii="Calibri" w:hAnsi="Calibri" w:cs="Calibri"/>
                <w:i/>
                <w:iCs/>
                <w:color w:val="212121"/>
              </w:rPr>
            </w:pPr>
            <w:r w:rsidRPr="00B95EB2">
              <w:rPr>
                <w:rFonts w:ascii="Calibri" w:hAnsi="Calibri" w:cs="Calibri"/>
                <w:i/>
                <w:iCs/>
                <w:color w:val="212121"/>
              </w:rPr>
              <w:t xml:space="preserve">A non-RedCap XR-wearable UE can be considered for 2Rx relaxation (for frequency bands where 4Rx is mandated) if and only if: </w:t>
            </w:r>
          </w:p>
          <w:p w14:paraId="23C37A60" w14:textId="77777777" w:rsidR="001C17EB" w:rsidRPr="00FB6AB2" w:rsidRDefault="001C17EB" w:rsidP="001C17EB">
            <w:pPr>
              <w:pStyle w:val="ListParagraph"/>
              <w:numPr>
                <w:ilvl w:val="0"/>
                <w:numId w:val="39"/>
              </w:numPr>
              <w:spacing w:after="0"/>
              <w:contextualSpacing/>
              <w:rPr>
                <w:rFonts w:ascii="Calibri" w:hAnsi="Calibri" w:cs="Calibri"/>
                <w:i/>
                <w:iCs/>
                <w:color w:val="212121"/>
              </w:rPr>
            </w:pPr>
            <w:r w:rsidRPr="00FB6AB2">
              <w:rPr>
                <w:rFonts w:ascii="Calibri" w:hAnsi="Calibri" w:cs="Calibri"/>
                <w:i/>
                <w:iCs/>
                <w:color w:val="212121"/>
              </w:rPr>
              <w:t>Intended to be worn on the human head;</w:t>
            </w:r>
          </w:p>
          <w:p w14:paraId="1D3A7C6F" w14:textId="77777777" w:rsidR="001C17EB" w:rsidRPr="00350EFE" w:rsidRDefault="001C17EB" w:rsidP="001C17EB">
            <w:pPr>
              <w:pStyle w:val="ListParagraph"/>
              <w:numPr>
                <w:ilvl w:val="0"/>
                <w:numId w:val="39"/>
              </w:numPr>
              <w:spacing w:after="0"/>
              <w:contextualSpacing/>
              <w:rPr>
                <w:rFonts w:ascii="Calibri" w:hAnsi="Calibri" w:cs="Calibri"/>
                <w:i/>
                <w:iCs/>
                <w:color w:val="212121"/>
              </w:rPr>
            </w:pPr>
            <w:r w:rsidRPr="00FB6AB2">
              <w:rPr>
                <w:rFonts w:ascii="Calibri" w:hAnsi="Calibri" w:cs="Calibri"/>
                <w:i/>
                <w:iCs/>
                <w:color w:val="212121"/>
              </w:rPr>
              <w:t xml:space="preserve">When in use, is intended to be supported only by/behind the ears and by a nose-bridge resulting in a constrained form factor with limited volume available for Rx chains; </w:t>
            </w:r>
          </w:p>
          <w:p w14:paraId="67C473B5" w14:textId="77777777" w:rsidR="001C17EB" w:rsidRDefault="001C17EB" w:rsidP="001C17EB">
            <w:pPr>
              <w:spacing w:after="0"/>
              <w:rPr>
                <w:i/>
                <w:iCs/>
              </w:rPr>
            </w:pPr>
          </w:p>
          <w:p w14:paraId="7697C83C" w14:textId="77777777" w:rsidR="001C17EB" w:rsidRPr="00350EFE" w:rsidRDefault="001C17EB" w:rsidP="001C17EB">
            <w:pPr>
              <w:spacing w:after="0"/>
              <w:rPr>
                <w:i/>
                <w:iCs/>
              </w:rPr>
            </w:pPr>
            <w:r>
              <w:rPr>
                <w:i/>
                <w:iCs/>
              </w:rPr>
              <w:t xml:space="preserve">        -</w:t>
            </w:r>
            <w:r>
              <w:rPr>
                <w:i/>
                <w:iCs/>
              </w:rPr>
              <w:tab/>
            </w:r>
            <w:r w:rsidRPr="00350EFE">
              <w:rPr>
                <w:i/>
                <w:iCs/>
              </w:rPr>
              <w:t>No other relaxation is being considered apart from number of Rx antennas.</w:t>
            </w:r>
          </w:p>
          <w:p w14:paraId="48B93064" w14:textId="77777777" w:rsidR="001C17EB" w:rsidRDefault="001C17EB" w:rsidP="00563003">
            <w:pPr>
              <w:jc w:val="both"/>
              <w:rPr>
                <w:bCs/>
              </w:rPr>
            </w:pPr>
          </w:p>
        </w:tc>
      </w:tr>
    </w:tbl>
    <w:p w14:paraId="3C552FB2" w14:textId="3E230157" w:rsidR="004240A6" w:rsidRDefault="004240A6" w:rsidP="00563003">
      <w:pPr>
        <w:jc w:val="both"/>
        <w:rPr>
          <w:bCs/>
        </w:rPr>
      </w:pPr>
    </w:p>
    <w:p w14:paraId="2C89DA6A" w14:textId="36EB8865" w:rsidR="00EB5AB6" w:rsidRDefault="00EB5AB6" w:rsidP="00563003">
      <w:pPr>
        <w:jc w:val="both"/>
        <w:rPr>
          <w:bCs/>
        </w:rPr>
      </w:pPr>
      <w:r>
        <w:rPr>
          <w:bCs/>
        </w:rPr>
        <w:t>Per RAN plenary’s task, a definition for this type of devices should be captured into TS 38.101-1 based on the above texts. An initial proposal could be</w:t>
      </w:r>
      <w:r w:rsidR="00802280">
        <w:rPr>
          <w:bCs/>
        </w:rPr>
        <w:t xml:space="preserve"> the following sentence by consolidating the texts above</w:t>
      </w:r>
      <w:r>
        <w:rPr>
          <w:bCs/>
        </w:rPr>
        <w:t>:</w:t>
      </w:r>
    </w:p>
    <w:p w14:paraId="6A693B5A" w14:textId="7A86E0E1" w:rsidR="00EB5AB6" w:rsidRDefault="00EB5AB6" w:rsidP="00563003">
      <w:pPr>
        <w:jc w:val="both"/>
        <w:rPr>
          <w:bCs/>
        </w:rPr>
      </w:pPr>
      <w:bookmarkStart w:id="3" w:name="_Hlk158726065"/>
      <w:r>
        <w:rPr>
          <w:bCs/>
        </w:rPr>
        <w:t xml:space="preserve">A 2Rx non-REDCAP XR </w:t>
      </w:r>
      <w:r w:rsidR="00884345">
        <w:rPr>
          <w:bCs/>
        </w:rPr>
        <w:t>Wearable UE</w:t>
      </w:r>
      <w:r>
        <w:rPr>
          <w:bCs/>
        </w:rPr>
        <w:t xml:space="preserve"> refer</w:t>
      </w:r>
      <w:r w:rsidR="00483889">
        <w:rPr>
          <w:bCs/>
        </w:rPr>
        <w:t>s</w:t>
      </w:r>
      <w:r>
        <w:rPr>
          <w:bCs/>
        </w:rPr>
        <w:t xml:space="preserve"> to a </w:t>
      </w:r>
      <w:r w:rsidR="00884345">
        <w:rPr>
          <w:bCs/>
        </w:rPr>
        <w:t xml:space="preserve">non-handheld </w:t>
      </w:r>
      <w:r>
        <w:rPr>
          <w:bCs/>
        </w:rPr>
        <w:t xml:space="preserve">device </w:t>
      </w:r>
      <w:r w:rsidR="00884345">
        <w:rPr>
          <w:bCs/>
        </w:rPr>
        <w:t>intended to be worn on the human head, supported only by/behind the ears and by a nose-bridge and, due to constrained form factor/volume, equipped with only two Rx antenna ports in all supported FR1 frequency bands</w:t>
      </w:r>
      <w:bookmarkEnd w:id="3"/>
      <w:r w:rsidR="00884345">
        <w:rPr>
          <w:bCs/>
        </w:rPr>
        <w:t>.</w:t>
      </w:r>
    </w:p>
    <w:p w14:paraId="20985ECB" w14:textId="4445AABB" w:rsidR="003C1B38" w:rsidRDefault="00CA7A6E" w:rsidP="00D776A6">
      <w:pPr>
        <w:jc w:val="both"/>
        <w:rPr>
          <w:b/>
        </w:rPr>
      </w:pPr>
      <w:bookmarkStart w:id="4" w:name="OLE_LINK1"/>
      <w:r>
        <w:rPr>
          <w:b/>
        </w:rPr>
        <w:t xml:space="preserve">Proposal 1: </w:t>
      </w:r>
      <w:bookmarkEnd w:id="4"/>
      <w:r w:rsidR="00CF2F4D">
        <w:rPr>
          <w:b/>
        </w:rPr>
        <w:t xml:space="preserve">Capture the definition of 2Rx non-REDCAP XR </w:t>
      </w:r>
      <w:r w:rsidR="005F1846">
        <w:rPr>
          <w:b/>
        </w:rPr>
        <w:t>Wearable UE</w:t>
      </w:r>
      <w:r w:rsidR="00CF2F4D">
        <w:rPr>
          <w:b/>
        </w:rPr>
        <w:t xml:space="preserve"> into TS 38.101-1 as </w:t>
      </w:r>
      <w:r w:rsidR="003C1B38">
        <w:rPr>
          <w:b/>
        </w:rPr>
        <w:t>the following:</w:t>
      </w:r>
    </w:p>
    <w:p w14:paraId="7270C4DE" w14:textId="1E84B226" w:rsidR="00CA7A6E" w:rsidRDefault="00CF2F4D" w:rsidP="00D776A6">
      <w:pPr>
        <w:jc w:val="both"/>
        <w:rPr>
          <w:bCs/>
        </w:rPr>
      </w:pPr>
      <w:r>
        <w:rPr>
          <w:b/>
        </w:rPr>
        <w:t>“</w:t>
      </w:r>
      <w:r w:rsidR="00884345" w:rsidRPr="00884345">
        <w:rPr>
          <w:b/>
        </w:rPr>
        <w:t>A 2Rx non-REDCAP XR Wearable UE refers to a non-handheld device intended to be worn on the human head, supported only by/behind the ears and by a nose-bridge and, due to constrained form factor/volume, equipped with only two Rx antenna ports in all supported FR1 frequency bands</w:t>
      </w:r>
      <w:r w:rsidR="00D656A7">
        <w:rPr>
          <w:b/>
        </w:rPr>
        <w:t>.</w:t>
      </w:r>
      <w:r>
        <w:rPr>
          <w:b/>
        </w:rPr>
        <w:t>”</w:t>
      </w:r>
    </w:p>
    <w:p w14:paraId="291A793F" w14:textId="623B11A9" w:rsidR="003E1506" w:rsidRDefault="003E1506" w:rsidP="002E12E8">
      <w:pPr>
        <w:pStyle w:val="Heading2"/>
      </w:pPr>
      <w:r>
        <w:t>2.2 TP for clause 7.2</w:t>
      </w:r>
    </w:p>
    <w:p w14:paraId="58925D4B" w14:textId="30E17D49" w:rsidR="003E1506" w:rsidRDefault="003E1506" w:rsidP="003E1506">
      <w:pPr>
        <w:jc w:val="both"/>
      </w:pPr>
      <w:r>
        <w:t xml:space="preserve">It is proposed to add the following text to clause 7.2: “Clause 7 requirements for four Rx antenna ports do not apply to a 2Rx non-REDCAP </w:t>
      </w:r>
      <w:r w:rsidR="005F1846">
        <w:t xml:space="preserve">XR </w:t>
      </w:r>
      <w:r>
        <w:t>Wearable UE.”</w:t>
      </w:r>
    </w:p>
    <w:p w14:paraId="0C6421D1" w14:textId="6E7564A7" w:rsidR="003E1506" w:rsidRPr="003E1506" w:rsidRDefault="003E1506" w:rsidP="003E1506">
      <w:pPr>
        <w:jc w:val="both"/>
        <w:rPr>
          <w:b/>
          <w:bCs/>
        </w:rPr>
      </w:pPr>
      <w:r w:rsidRPr="003E1506">
        <w:rPr>
          <w:b/>
          <w:bCs/>
        </w:rPr>
        <w:t>Proposal 2: Clause 7 requirements for four Rx antenna ports do not apply to a 2Rx non-REDCAP Wearable UE.</w:t>
      </w:r>
    </w:p>
    <w:p w14:paraId="1FE0F1A1" w14:textId="1E50E35C" w:rsidR="0023044C" w:rsidRPr="006A78FE" w:rsidRDefault="002E12E8" w:rsidP="002E12E8">
      <w:pPr>
        <w:pStyle w:val="Heading2"/>
        <w:rPr>
          <w:bCs/>
        </w:rPr>
      </w:pPr>
      <w:r>
        <w:t>2.</w:t>
      </w:r>
      <w:r w:rsidR="003E1506">
        <w:t>3</w:t>
      </w:r>
      <w:r>
        <w:t xml:space="preserve"> </w:t>
      </w:r>
      <w:r w:rsidR="00820149">
        <w:t xml:space="preserve">Tightening REFSENS </w:t>
      </w:r>
      <w:r w:rsidR="00C94127">
        <w:t xml:space="preserve">requirements </w:t>
      </w:r>
      <w:r w:rsidR="00820149">
        <w:t>for 2Rx</w:t>
      </w:r>
      <w:r>
        <w:t xml:space="preserve"> non-REDCAP XR </w:t>
      </w:r>
      <w:r w:rsidR="005F1846">
        <w:t>UE</w:t>
      </w:r>
    </w:p>
    <w:p w14:paraId="7106A3CD" w14:textId="4312AB0E" w:rsidR="00211CD7" w:rsidRDefault="00853B5E" w:rsidP="00932D17">
      <w:pPr>
        <w:jc w:val="both"/>
        <w:rPr>
          <w:bCs/>
          <w:lang w:val="en-GB"/>
        </w:rPr>
      </w:pPr>
      <w:r>
        <w:rPr>
          <w:bCs/>
          <w:lang w:val="en-GB"/>
        </w:rPr>
        <w:t xml:space="preserve">In addition to the definition, </w:t>
      </w:r>
      <w:r w:rsidR="00211CD7">
        <w:rPr>
          <w:bCs/>
          <w:lang w:val="en-GB"/>
        </w:rPr>
        <w:t xml:space="preserve">it was tasked for RAN4 to determine the feasibility of </w:t>
      </w:r>
      <w:r>
        <w:rPr>
          <w:bCs/>
          <w:lang w:val="en-GB"/>
        </w:rPr>
        <w:t xml:space="preserve">tightening REFSENS for 2Rx non-REDCAP XR </w:t>
      </w:r>
      <w:r w:rsidR="005F1846">
        <w:rPr>
          <w:bCs/>
          <w:lang w:val="en-GB"/>
        </w:rPr>
        <w:t xml:space="preserve">Wearable </w:t>
      </w:r>
      <w:r>
        <w:rPr>
          <w:bCs/>
          <w:lang w:val="en-GB"/>
        </w:rPr>
        <w:t xml:space="preserve">devices </w:t>
      </w:r>
      <w:r w:rsidR="00211CD7">
        <w:rPr>
          <w:bCs/>
          <w:lang w:val="en-GB"/>
        </w:rPr>
        <w:t>compared to nominal 2Rx assumptions</w:t>
      </w:r>
      <w:r>
        <w:rPr>
          <w:bCs/>
          <w:lang w:val="en-GB"/>
        </w:rPr>
        <w:t>.</w:t>
      </w:r>
      <w:r w:rsidR="0068586A">
        <w:rPr>
          <w:bCs/>
          <w:lang w:val="en-GB"/>
        </w:rPr>
        <w:t xml:space="preserve"> </w:t>
      </w:r>
    </w:p>
    <w:p w14:paraId="2939011E" w14:textId="10988ECE" w:rsidR="00BA3F94" w:rsidRDefault="00BA3F94" w:rsidP="00932D17">
      <w:pPr>
        <w:jc w:val="both"/>
        <w:rPr>
          <w:bCs/>
          <w:lang w:val="en-GB"/>
        </w:rPr>
      </w:pPr>
      <w:r>
        <w:rPr>
          <w:bCs/>
          <w:lang w:val="en-GB"/>
        </w:rPr>
        <w:t xml:space="preserve">Usually, REFSENS is </w:t>
      </w:r>
      <w:r w:rsidR="00211CD7">
        <w:rPr>
          <w:bCs/>
          <w:lang w:val="en-GB"/>
        </w:rPr>
        <w:t xml:space="preserve">essentially </w:t>
      </w:r>
      <w:r>
        <w:rPr>
          <w:bCs/>
          <w:lang w:val="en-GB"/>
        </w:rPr>
        <w:t>derived according to the below equation</w:t>
      </w:r>
      <w:r w:rsidR="00211CD7">
        <w:rPr>
          <w:bCs/>
          <w:lang w:val="en-GB"/>
        </w:rPr>
        <w:t xml:space="preserve"> for one Rx port:</w:t>
      </w:r>
    </w:p>
    <w:p w14:paraId="4230BD3E" w14:textId="6400AFBA" w:rsidR="00BA3F94" w:rsidRDefault="00BA3F94" w:rsidP="002A032F">
      <w:pPr>
        <w:jc w:val="center"/>
        <w:rPr>
          <w:bCs/>
          <w:lang w:val="en-GB"/>
        </w:rPr>
      </w:pPr>
      <w:r>
        <w:rPr>
          <w:bCs/>
          <w:lang w:val="en-GB"/>
        </w:rPr>
        <w:t>REFSENS (dBm) = Thermal noise + N</w:t>
      </w:r>
      <w:r w:rsidR="007351E7">
        <w:rPr>
          <w:bCs/>
          <w:lang w:val="en-GB"/>
        </w:rPr>
        <w:t>F</w:t>
      </w:r>
      <w:r>
        <w:rPr>
          <w:bCs/>
          <w:lang w:val="en-GB"/>
        </w:rPr>
        <w:t xml:space="preserve"> + 10*log10(Bandwidth) + SINR + </w:t>
      </w:r>
      <w:r w:rsidR="007351E7">
        <w:rPr>
          <w:bCs/>
          <w:lang w:val="en-GB"/>
        </w:rPr>
        <w:t>IM</w:t>
      </w:r>
      <w:r>
        <w:rPr>
          <w:bCs/>
          <w:lang w:val="en-GB"/>
        </w:rPr>
        <w:t xml:space="preserve"> </w:t>
      </w:r>
      <w:r w:rsidR="007351E7">
        <w:rPr>
          <w:bCs/>
          <w:lang w:val="en-GB"/>
        </w:rPr>
        <w:t xml:space="preserve">                 </w:t>
      </w:r>
      <w:proofErr w:type="gramStart"/>
      <w:r w:rsidR="007351E7">
        <w:rPr>
          <w:bCs/>
          <w:lang w:val="en-GB"/>
        </w:rPr>
        <w:t xml:space="preserve">   </w:t>
      </w:r>
      <w:r>
        <w:rPr>
          <w:bCs/>
          <w:lang w:val="en-GB"/>
        </w:rPr>
        <w:t>(</w:t>
      </w:r>
      <w:proofErr w:type="gramEnd"/>
      <w:r>
        <w:rPr>
          <w:bCs/>
          <w:lang w:val="en-GB"/>
        </w:rPr>
        <w:t>1)</w:t>
      </w:r>
    </w:p>
    <w:p w14:paraId="31EE9468" w14:textId="4D2036E6" w:rsidR="00BA3F94" w:rsidRDefault="00BA3F94" w:rsidP="00932D17">
      <w:pPr>
        <w:jc w:val="both"/>
        <w:rPr>
          <w:bCs/>
          <w:lang w:val="en-GB"/>
        </w:rPr>
      </w:pPr>
      <w:proofErr w:type="gramStart"/>
      <w:r>
        <w:rPr>
          <w:bCs/>
          <w:lang w:val="en-GB"/>
        </w:rPr>
        <w:t>Where</w:t>
      </w:r>
      <w:proofErr w:type="gramEnd"/>
      <w:r>
        <w:rPr>
          <w:bCs/>
          <w:lang w:val="en-GB"/>
        </w:rPr>
        <w:t xml:space="preserve"> </w:t>
      </w:r>
    </w:p>
    <w:p w14:paraId="2325A95C" w14:textId="0EAD126B" w:rsidR="00BA3F94" w:rsidRDefault="00BA3F94" w:rsidP="00BA3F94">
      <w:pPr>
        <w:pStyle w:val="ListParagraph"/>
        <w:numPr>
          <w:ilvl w:val="0"/>
          <w:numId w:val="41"/>
        </w:numPr>
        <w:jc w:val="both"/>
        <w:rPr>
          <w:bCs/>
          <w:lang w:val="en-GB"/>
        </w:rPr>
      </w:pPr>
      <w:r>
        <w:rPr>
          <w:bCs/>
          <w:lang w:val="en-GB"/>
        </w:rPr>
        <w:t>Thermal noise: -174dBm/Hz</w:t>
      </w:r>
    </w:p>
    <w:p w14:paraId="59589255" w14:textId="5943546D" w:rsidR="007351E7" w:rsidRDefault="007351E7" w:rsidP="00BA3F94">
      <w:pPr>
        <w:pStyle w:val="ListParagraph"/>
        <w:numPr>
          <w:ilvl w:val="0"/>
          <w:numId w:val="41"/>
        </w:numPr>
        <w:jc w:val="both"/>
        <w:rPr>
          <w:bCs/>
          <w:lang w:val="en-GB"/>
        </w:rPr>
      </w:pPr>
      <w:r>
        <w:rPr>
          <w:bCs/>
          <w:lang w:val="en-GB"/>
        </w:rPr>
        <w:t>NF: noise figure</w:t>
      </w:r>
    </w:p>
    <w:p w14:paraId="70F06966" w14:textId="4CFDE90D" w:rsidR="00BA3F94" w:rsidRDefault="00BA3F94" w:rsidP="00BA3F94">
      <w:pPr>
        <w:pStyle w:val="ListParagraph"/>
        <w:numPr>
          <w:ilvl w:val="0"/>
          <w:numId w:val="41"/>
        </w:numPr>
        <w:jc w:val="both"/>
        <w:rPr>
          <w:bCs/>
          <w:lang w:val="en-GB"/>
        </w:rPr>
      </w:pPr>
      <w:r>
        <w:rPr>
          <w:bCs/>
          <w:lang w:val="en-GB"/>
        </w:rPr>
        <w:t>SINR is the required demodulation SINR for the reference case defined for REFSENS</w:t>
      </w:r>
    </w:p>
    <w:p w14:paraId="6276041C" w14:textId="644F4B3F" w:rsidR="00BA3F94" w:rsidRPr="00BA3F94" w:rsidRDefault="007351E7" w:rsidP="00BA3F94">
      <w:pPr>
        <w:pStyle w:val="ListParagraph"/>
        <w:numPr>
          <w:ilvl w:val="0"/>
          <w:numId w:val="41"/>
        </w:numPr>
        <w:jc w:val="both"/>
        <w:rPr>
          <w:bCs/>
          <w:lang w:val="en-GB"/>
        </w:rPr>
      </w:pPr>
      <w:r>
        <w:rPr>
          <w:bCs/>
          <w:lang w:val="en-GB"/>
        </w:rPr>
        <w:t>IM: i</w:t>
      </w:r>
      <w:r w:rsidR="00BA3F94">
        <w:rPr>
          <w:bCs/>
          <w:lang w:val="en-GB"/>
        </w:rPr>
        <w:t xml:space="preserve">mplementation margin </w:t>
      </w:r>
      <w:r w:rsidR="006E2586">
        <w:rPr>
          <w:bCs/>
          <w:lang w:val="en-GB"/>
        </w:rPr>
        <w:t>covering other loss required by implementation such as FE insertion loss etc.</w:t>
      </w:r>
    </w:p>
    <w:p w14:paraId="375C7F9B" w14:textId="78A00DAA" w:rsidR="007351E7" w:rsidRDefault="001D792B" w:rsidP="00932D17">
      <w:pPr>
        <w:jc w:val="both"/>
        <w:rPr>
          <w:bCs/>
          <w:lang w:val="en-GB"/>
        </w:rPr>
      </w:pPr>
      <w:r>
        <w:rPr>
          <w:bCs/>
          <w:lang w:val="en-GB"/>
        </w:rPr>
        <w:t xml:space="preserve">We </w:t>
      </w:r>
      <w:r w:rsidR="006928EC">
        <w:rPr>
          <w:bCs/>
          <w:lang w:val="en-GB"/>
        </w:rPr>
        <w:t>have analysed</w:t>
      </w:r>
      <w:r>
        <w:rPr>
          <w:bCs/>
          <w:lang w:val="en-GB"/>
        </w:rPr>
        <w:t xml:space="preserve"> each </w:t>
      </w:r>
      <w:r w:rsidR="006928EC">
        <w:rPr>
          <w:bCs/>
          <w:lang w:val="en-GB"/>
        </w:rPr>
        <w:t>component</w:t>
      </w:r>
      <w:r>
        <w:rPr>
          <w:bCs/>
          <w:lang w:val="en-GB"/>
        </w:rPr>
        <w:t xml:space="preserve"> compared with </w:t>
      </w:r>
      <w:r w:rsidR="006928EC">
        <w:rPr>
          <w:bCs/>
          <w:lang w:val="en-GB"/>
        </w:rPr>
        <w:t>other</w:t>
      </w:r>
      <w:r>
        <w:rPr>
          <w:bCs/>
          <w:lang w:val="en-GB"/>
        </w:rPr>
        <w:t xml:space="preserve"> device</w:t>
      </w:r>
      <w:r w:rsidR="006928EC">
        <w:rPr>
          <w:bCs/>
          <w:lang w:val="en-GB"/>
        </w:rPr>
        <w:t xml:space="preserve"> types</w:t>
      </w:r>
      <w:r>
        <w:rPr>
          <w:bCs/>
          <w:lang w:val="en-GB"/>
        </w:rPr>
        <w:t xml:space="preserve">. Obviously </w:t>
      </w:r>
      <w:r w:rsidR="007351E7">
        <w:rPr>
          <w:bCs/>
          <w:lang w:val="en-GB"/>
        </w:rPr>
        <w:t>thermal noise</w:t>
      </w:r>
      <w:r>
        <w:rPr>
          <w:bCs/>
          <w:lang w:val="en-GB"/>
        </w:rPr>
        <w:t xml:space="preserve"> and</w:t>
      </w:r>
      <w:r w:rsidR="007351E7">
        <w:rPr>
          <w:bCs/>
          <w:lang w:val="en-GB"/>
        </w:rPr>
        <w:t xml:space="preserve"> bandwidth</w:t>
      </w:r>
      <w:r>
        <w:rPr>
          <w:bCs/>
          <w:lang w:val="en-GB"/>
        </w:rPr>
        <w:t xml:space="preserve"> should be the same, and SINR </w:t>
      </w:r>
      <w:r w:rsidR="006928EC">
        <w:rPr>
          <w:bCs/>
          <w:lang w:val="en-GB"/>
        </w:rPr>
        <w:t>will not be improved due to no further advanced receiver. W</w:t>
      </w:r>
      <w:r w:rsidR="00E02754">
        <w:rPr>
          <w:bCs/>
          <w:lang w:val="en-GB"/>
        </w:rPr>
        <w:t xml:space="preserve">e </w:t>
      </w:r>
      <w:r w:rsidR="006928EC">
        <w:rPr>
          <w:bCs/>
          <w:lang w:val="en-GB"/>
        </w:rPr>
        <w:t>do</w:t>
      </w:r>
      <w:r w:rsidR="00E02754">
        <w:rPr>
          <w:bCs/>
          <w:lang w:val="en-GB"/>
        </w:rPr>
        <w:t xml:space="preserve"> not expect a better </w:t>
      </w:r>
      <w:r>
        <w:rPr>
          <w:bCs/>
          <w:lang w:val="en-GB"/>
        </w:rPr>
        <w:t xml:space="preserve">noise figure </w:t>
      </w:r>
      <w:r w:rsidR="006928EC">
        <w:rPr>
          <w:bCs/>
          <w:lang w:val="en-GB"/>
        </w:rPr>
        <w:t>compared with a smart phone due to the constrained form factor. I</w:t>
      </w:r>
      <w:r>
        <w:rPr>
          <w:bCs/>
          <w:lang w:val="en-GB"/>
        </w:rPr>
        <w:t>mplementation margin</w:t>
      </w:r>
      <w:r w:rsidR="00615B29">
        <w:rPr>
          <w:bCs/>
          <w:lang w:val="en-GB"/>
        </w:rPr>
        <w:t>,</w:t>
      </w:r>
      <w:r w:rsidR="006928EC">
        <w:rPr>
          <w:bCs/>
          <w:lang w:val="en-GB"/>
        </w:rPr>
        <w:t xml:space="preserve"> relates directly to complexity and power consumption compared with that of smart phones. In consideration of these factors, we do not believe that a tightening of the conducted Rx sensitivity requirements in 4Rx bands</w:t>
      </w:r>
      <w:r w:rsidR="005F1846">
        <w:rPr>
          <w:bCs/>
          <w:lang w:val="en-GB"/>
        </w:rPr>
        <w:t xml:space="preserve"> compared with nominal 2Rx assumption</w:t>
      </w:r>
      <w:r w:rsidR="006928EC">
        <w:rPr>
          <w:bCs/>
          <w:lang w:val="en-GB"/>
        </w:rPr>
        <w:t xml:space="preserve"> is feasible</w:t>
      </w:r>
      <w:r w:rsidR="007E4D05">
        <w:rPr>
          <w:bCs/>
          <w:lang w:val="en-GB"/>
        </w:rPr>
        <w:t>.</w:t>
      </w:r>
    </w:p>
    <w:p w14:paraId="45F20FF6" w14:textId="1976560D" w:rsidR="0068586A" w:rsidRDefault="0068586A" w:rsidP="00932D17">
      <w:pPr>
        <w:jc w:val="both"/>
        <w:rPr>
          <w:bCs/>
          <w:lang w:val="en-GB"/>
        </w:rPr>
      </w:pPr>
      <w:r>
        <w:rPr>
          <w:b/>
        </w:rPr>
        <w:lastRenderedPageBreak/>
        <w:t xml:space="preserve">Proposal </w:t>
      </w:r>
      <w:r w:rsidR="003E1506">
        <w:rPr>
          <w:b/>
        </w:rPr>
        <w:t>3</w:t>
      </w:r>
      <w:r>
        <w:rPr>
          <w:b/>
        </w:rPr>
        <w:t xml:space="preserve">: </w:t>
      </w:r>
      <w:r w:rsidR="006928EC">
        <w:rPr>
          <w:b/>
        </w:rPr>
        <w:t xml:space="preserve">Agree not to improve conducted Rx sensitivity requirements for 2Rx non-REDCAP </w:t>
      </w:r>
      <w:r w:rsidR="005F1846">
        <w:rPr>
          <w:b/>
        </w:rPr>
        <w:t xml:space="preserve">XR </w:t>
      </w:r>
      <w:r w:rsidR="006928EC">
        <w:rPr>
          <w:b/>
        </w:rPr>
        <w:t>Wearable UE compared with existing nominal 2Rx assumption</w:t>
      </w:r>
      <w:r w:rsidR="00F844B7">
        <w:rPr>
          <w:b/>
        </w:rPr>
        <w:t>.</w:t>
      </w:r>
    </w:p>
    <w:p w14:paraId="30B68AAD" w14:textId="77777777" w:rsidR="0068586A" w:rsidRPr="00820149" w:rsidRDefault="0068586A" w:rsidP="00932D17">
      <w:pPr>
        <w:jc w:val="both"/>
        <w:rPr>
          <w:bCs/>
          <w:lang w:val="en-GB"/>
        </w:rPr>
      </w:pPr>
    </w:p>
    <w:p w14:paraId="2A3739F7" w14:textId="550E158B" w:rsidR="002634C9" w:rsidRPr="004D4F98" w:rsidRDefault="0061046D" w:rsidP="00190366">
      <w:pPr>
        <w:pStyle w:val="Heading1"/>
        <w:numPr>
          <w:ilvl w:val="0"/>
          <w:numId w:val="38"/>
        </w:numPr>
        <w:rPr>
          <w:lang w:val="en-US"/>
        </w:rPr>
      </w:pPr>
      <w:r>
        <w:rPr>
          <w:lang w:val="en-US"/>
        </w:rPr>
        <w:t>Conclusion</w:t>
      </w:r>
    </w:p>
    <w:p w14:paraId="17948794" w14:textId="2FABDCAF" w:rsidR="00D776A6" w:rsidRPr="009247EA" w:rsidRDefault="008D0D1E" w:rsidP="00D776A6">
      <w:pPr>
        <w:jc w:val="both"/>
        <w:rPr>
          <w:bCs/>
        </w:rPr>
      </w:pPr>
      <w:r w:rsidRPr="004D4F98">
        <w:rPr>
          <w:lang w:eastAsia="ja-JP"/>
        </w:rPr>
        <w:t>In this contribution w</w:t>
      </w:r>
      <w:r>
        <w:rPr>
          <w:lang w:eastAsia="ja-JP"/>
        </w:rPr>
        <w:t xml:space="preserve">e have </w:t>
      </w:r>
      <w:r w:rsidR="0061046D">
        <w:rPr>
          <w:lang w:eastAsia="ja-JP"/>
        </w:rPr>
        <w:t>the following proposals for</w:t>
      </w:r>
      <w:r w:rsidR="00657A45">
        <w:rPr>
          <w:lang w:eastAsia="ja-JP"/>
        </w:rPr>
        <w:t xml:space="preserve"> 2Rx non-REDCAP XR</w:t>
      </w:r>
      <w:r w:rsidR="005F1846">
        <w:rPr>
          <w:lang w:eastAsia="ja-JP"/>
        </w:rPr>
        <w:t xml:space="preserve"> Wearable</w:t>
      </w:r>
      <w:r w:rsidR="00657A45">
        <w:rPr>
          <w:lang w:eastAsia="ja-JP"/>
        </w:rPr>
        <w:t xml:space="preserve"> devices</w:t>
      </w:r>
      <w:r w:rsidR="00317970">
        <w:rPr>
          <w:lang w:eastAsia="ja-JP"/>
        </w:rPr>
        <w:t>:</w:t>
      </w:r>
    </w:p>
    <w:p w14:paraId="27C29295" w14:textId="4190A64B" w:rsidR="00311194" w:rsidRDefault="00311194" w:rsidP="00311194">
      <w:pPr>
        <w:jc w:val="both"/>
        <w:rPr>
          <w:b/>
        </w:rPr>
      </w:pPr>
      <w:r>
        <w:rPr>
          <w:b/>
        </w:rPr>
        <w:t xml:space="preserve">Proposal 1: Capture the definition of 2Rx non-REDCAP XR </w:t>
      </w:r>
      <w:r w:rsidR="005F1846">
        <w:rPr>
          <w:b/>
        </w:rPr>
        <w:t>Wearable UE</w:t>
      </w:r>
      <w:r>
        <w:rPr>
          <w:b/>
        </w:rPr>
        <w:t xml:space="preserve"> into TS 38.101-1 as the following:</w:t>
      </w:r>
    </w:p>
    <w:p w14:paraId="193CA834" w14:textId="4A04807F" w:rsidR="006903D4" w:rsidRDefault="00311194" w:rsidP="00311194">
      <w:pPr>
        <w:jc w:val="both"/>
        <w:rPr>
          <w:b/>
        </w:rPr>
      </w:pPr>
      <w:r>
        <w:rPr>
          <w:b/>
        </w:rPr>
        <w:t>“</w:t>
      </w:r>
      <w:r w:rsidR="00036E5F" w:rsidRPr="00036E5F">
        <w:rPr>
          <w:b/>
        </w:rPr>
        <w:t>A 2Rx non-REDCAP XR Wearable UE refers to a non-handheld device intended to be worn on the human head, supported only by/behind the ears and by a nose-bridge and, due to constrained form factor/volume, equipped with only two Rx antenna ports in all supported FR1 frequency bands</w:t>
      </w:r>
      <w:r w:rsidR="00036E5F">
        <w:rPr>
          <w:b/>
        </w:rPr>
        <w:t>.</w:t>
      </w:r>
      <w:r>
        <w:rPr>
          <w:b/>
        </w:rPr>
        <w:t>”</w:t>
      </w:r>
    </w:p>
    <w:p w14:paraId="5A99B255" w14:textId="198D20F4" w:rsidR="003E1506" w:rsidRPr="003E1506" w:rsidRDefault="003E1506" w:rsidP="00311194">
      <w:pPr>
        <w:jc w:val="both"/>
        <w:rPr>
          <w:b/>
          <w:bCs/>
        </w:rPr>
      </w:pPr>
      <w:r w:rsidRPr="003E1506">
        <w:rPr>
          <w:b/>
          <w:bCs/>
        </w:rPr>
        <w:t>Proposal 2: Clause 7 requirements for four Rx antenna ports do not apply to a 2Rx non-REDCAP</w:t>
      </w:r>
      <w:r w:rsidR="005F1846">
        <w:rPr>
          <w:b/>
          <w:bCs/>
        </w:rPr>
        <w:t xml:space="preserve"> XR</w:t>
      </w:r>
      <w:r w:rsidRPr="003E1506">
        <w:rPr>
          <w:b/>
          <w:bCs/>
        </w:rPr>
        <w:t xml:space="preserve"> Wearable UE.</w:t>
      </w:r>
    </w:p>
    <w:p w14:paraId="39870C43" w14:textId="7FA8C060" w:rsidR="006903D4" w:rsidRPr="00311194" w:rsidRDefault="008A5C13" w:rsidP="003C0851">
      <w:pPr>
        <w:jc w:val="both"/>
        <w:rPr>
          <w:bCs/>
          <w:lang w:val="en-GB"/>
        </w:rPr>
      </w:pPr>
      <w:r>
        <w:rPr>
          <w:b/>
        </w:rPr>
        <w:t xml:space="preserve">Proposal 3: Agree not to improve conducted Rx sensitivity requirements for 2Rx non-REDCAP </w:t>
      </w:r>
      <w:r w:rsidR="005F1846">
        <w:rPr>
          <w:b/>
        </w:rPr>
        <w:t xml:space="preserve">XR </w:t>
      </w:r>
      <w:r>
        <w:rPr>
          <w:b/>
        </w:rPr>
        <w:t>Wearable UE compared with existing nominal 2Rx assumption.</w:t>
      </w:r>
    </w:p>
    <w:p w14:paraId="390ECC25" w14:textId="61FDD5B6" w:rsidR="005A782E" w:rsidRPr="002331D3" w:rsidRDefault="005A782E" w:rsidP="005876AB">
      <w:pPr>
        <w:pStyle w:val="Heading1"/>
        <w:ind w:left="0" w:firstLine="0"/>
        <w:rPr>
          <w:lang w:val="en-US"/>
        </w:rPr>
      </w:pPr>
      <w:r w:rsidRPr="002331D3">
        <w:rPr>
          <w:lang w:val="en-US"/>
        </w:rPr>
        <w:t>References</w:t>
      </w:r>
    </w:p>
    <w:p w14:paraId="21084D0E" w14:textId="226D7862" w:rsidR="009F52DC" w:rsidRPr="00461CC4" w:rsidRDefault="007D21CD" w:rsidP="00461CC4">
      <w:pPr>
        <w:pStyle w:val="ListParagraph"/>
        <w:numPr>
          <w:ilvl w:val="0"/>
          <w:numId w:val="2"/>
        </w:numPr>
      </w:pPr>
      <w:bookmarkStart w:id="5" w:name="OLE_LINK12"/>
      <w:bookmarkStart w:id="6" w:name="_Ref101774927"/>
      <w:r>
        <w:t>R</w:t>
      </w:r>
      <w:r w:rsidR="00A056D3">
        <w:t>P</w:t>
      </w:r>
      <w:r>
        <w:t>-</w:t>
      </w:r>
      <w:r w:rsidR="00FF5443">
        <w:t>234015</w:t>
      </w:r>
      <w:r w:rsidR="00410BA0">
        <w:t>,</w:t>
      </w:r>
      <w:r w:rsidR="00C05B41">
        <w:t xml:space="preserve"> </w:t>
      </w:r>
      <w:r w:rsidR="00C05B41" w:rsidRPr="00C05B41">
        <w:t>Summary of offline session on 2Rx for XR</w:t>
      </w:r>
      <w:r w:rsidR="00C05B41">
        <w:t xml:space="preserve">, </w:t>
      </w:r>
      <w:proofErr w:type="gramStart"/>
      <w:r w:rsidR="00C05B41">
        <w:t>Moderator(</w:t>
      </w:r>
      <w:proofErr w:type="gramEnd"/>
      <w:r w:rsidR="00C05B41">
        <w:t>Nokia).</w:t>
      </w:r>
    </w:p>
    <w:bookmarkEnd w:id="5"/>
    <w:bookmarkEnd w:id="6"/>
    <w:p w14:paraId="0C0A8906" w14:textId="0E670D95" w:rsidR="00BB5E1C" w:rsidRPr="00461CC4" w:rsidRDefault="00BB5E1C" w:rsidP="00BB5E1C">
      <w:pPr>
        <w:pStyle w:val="ListParagraph"/>
        <w:numPr>
          <w:ilvl w:val="0"/>
          <w:numId w:val="2"/>
        </w:numPr>
      </w:pPr>
      <w:r>
        <w:t xml:space="preserve">RP-232657, </w:t>
      </w:r>
      <w:r w:rsidRPr="00C05B41">
        <w:t>Summary of offline session on 2Rx for XR</w:t>
      </w:r>
      <w:r>
        <w:t xml:space="preserve">, </w:t>
      </w:r>
      <w:proofErr w:type="gramStart"/>
      <w:r>
        <w:t>Moderator(</w:t>
      </w:r>
      <w:proofErr w:type="gramEnd"/>
      <w:r>
        <w:t>Nokia).</w:t>
      </w:r>
    </w:p>
    <w:p w14:paraId="579C76C0" w14:textId="77777777" w:rsidR="003664C2" w:rsidRPr="00C0585F" w:rsidRDefault="003664C2" w:rsidP="003664C2">
      <w:pPr>
        <w:rPr>
          <w:rFonts w:ascii="Arial" w:hAnsi="Arial" w:cs="Times New Roman"/>
          <w:sz w:val="21"/>
          <w:szCs w:val="21"/>
        </w:rPr>
      </w:pPr>
    </w:p>
    <w:sectPr w:rsidR="003664C2" w:rsidRPr="00C0585F" w:rsidSect="0070556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75A92" w14:textId="77777777" w:rsidR="00705564" w:rsidRDefault="00705564">
      <w:pPr>
        <w:spacing w:after="0"/>
      </w:pPr>
      <w:r>
        <w:separator/>
      </w:r>
    </w:p>
  </w:endnote>
  <w:endnote w:type="continuationSeparator" w:id="0">
    <w:p w14:paraId="6A19FB44" w14:textId="77777777" w:rsidR="00705564" w:rsidRDefault="007055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BEF39" w14:textId="77777777" w:rsidR="00705564" w:rsidRDefault="00705564">
      <w:pPr>
        <w:spacing w:after="0"/>
      </w:pPr>
      <w:r>
        <w:separator/>
      </w:r>
    </w:p>
  </w:footnote>
  <w:footnote w:type="continuationSeparator" w:id="0">
    <w:p w14:paraId="1AA594AB" w14:textId="77777777" w:rsidR="00705564" w:rsidRDefault="007055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4"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985346A"/>
    <w:multiLevelType w:val="hybridMultilevel"/>
    <w:tmpl w:val="02F2403E"/>
    <w:lvl w:ilvl="0" w:tplc="041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8633435"/>
    <w:multiLevelType w:val="hybridMultilevel"/>
    <w:tmpl w:val="3EACB88C"/>
    <w:lvl w:ilvl="0" w:tplc="F4D63658">
      <w:start w:val="1"/>
      <w:numFmt w:val="bullet"/>
      <w:lvlText w:val="-"/>
      <w:lvlJc w:val="left"/>
      <w:pPr>
        <w:ind w:left="1440" w:hanging="360"/>
      </w:pPr>
      <w:rPr>
        <w:rFonts w:ascii="Calibri" w:eastAsiaTheme="minorHAns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514A410A"/>
    <w:multiLevelType w:val="hybridMultilevel"/>
    <w:tmpl w:val="A19C62EC"/>
    <w:lvl w:ilvl="0" w:tplc="04190001">
      <w:start w:val="1"/>
      <w:numFmt w:val="bullet"/>
      <w:lvlText w:val=""/>
      <w:lvlJc w:val="left"/>
      <w:pPr>
        <w:ind w:left="764" w:hanging="480"/>
      </w:pPr>
      <w:rPr>
        <w:rFonts w:ascii="Symbol" w:hAnsi="Symbol" w:hint="default"/>
      </w:rPr>
    </w:lvl>
    <w:lvl w:ilvl="1" w:tplc="0A6C1396">
      <w:start w:val="2"/>
      <w:numFmt w:val="bullet"/>
      <w:lvlText w:val="-"/>
      <w:lvlJc w:val="left"/>
      <w:pPr>
        <w:ind w:left="1244" w:hanging="480"/>
      </w:pPr>
      <w:rPr>
        <w:rFonts w:ascii="Times New Roman" w:eastAsia="Yu Mincho" w:hAnsi="Times New Roman" w:cs="Times New Roman" w:hint="default"/>
        <w:i w:val="0"/>
        <w:color w:val="auto"/>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B1262C"/>
    <w:multiLevelType w:val="hybridMultilevel"/>
    <w:tmpl w:val="62F6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5BC3A97"/>
    <w:multiLevelType w:val="hybridMultilevel"/>
    <w:tmpl w:val="4C1E93B4"/>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0E6583"/>
    <w:multiLevelType w:val="hybridMultilevel"/>
    <w:tmpl w:val="DDFCA718"/>
    <w:lvl w:ilvl="0" w:tplc="B866D034">
      <w:start w:val="29"/>
      <w:numFmt w:val="bullet"/>
      <w:lvlText w:val="-"/>
      <w:lvlJc w:val="left"/>
      <w:pPr>
        <w:ind w:left="720" w:hanging="360"/>
      </w:pPr>
      <w:rPr>
        <w:rFonts w:ascii="Calibri" w:eastAsiaTheme="minorHAnsi" w:hAnsi="Calibri" w:cs="Calibri"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990449747">
    <w:abstractNumId w:val="34"/>
  </w:num>
  <w:num w:numId="2" w16cid:durableId="7494971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0363638">
    <w:abstractNumId w:val="12"/>
  </w:num>
  <w:num w:numId="4" w16cid:durableId="370111101">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263879741">
    <w:abstractNumId w:val="0"/>
  </w:num>
  <w:num w:numId="6" w16cid:durableId="1995180783">
    <w:abstractNumId w:val="13"/>
  </w:num>
  <w:num w:numId="7" w16cid:durableId="2008895257">
    <w:abstractNumId w:val="22"/>
  </w:num>
  <w:num w:numId="8" w16cid:durableId="1613708098">
    <w:abstractNumId w:val="3"/>
  </w:num>
  <w:num w:numId="9" w16cid:durableId="1300764872">
    <w:abstractNumId w:val="22"/>
  </w:num>
  <w:num w:numId="10" w16cid:durableId="1659967020">
    <w:abstractNumId w:val="5"/>
  </w:num>
  <w:num w:numId="11" w16cid:durableId="1229339488">
    <w:abstractNumId w:val="22"/>
  </w:num>
  <w:num w:numId="12" w16cid:durableId="1756517332">
    <w:abstractNumId w:val="31"/>
  </w:num>
  <w:num w:numId="13" w16cid:durableId="1965689540">
    <w:abstractNumId w:val="8"/>
  </w:num>
  <w:num w:numId="14" w16cid:durableId="1772428264">
    <w:abstractNumId w:val="10"/>
  </w:num>
  <w:num w:numId="15" w16cid:durableId="1130518295">
    <w:abstractNumId w:val="30"/>
  </w:num>
  <w:num w:numId="16" w16cid:durableId="1569263851">
    <w:abstractNumId w:val="2"/>
  </w:num>
  <w:num w:numId="17" w16cid:durableId="1824272361">
    <w:abstractNumId w:val="14"/>
  </w:num>
  <w:num w:numId="18" w16cid:durableId="217936218">
    <w:abstractNumId w:val="22"/>
  </w:num>
  <w:num w:numId="19" w16cid:durableId="1364477395">
    <w:abstractNumId w:val="11"/>
  </w:num>
  <w:num w:numId="20" w16cid:durableId="544940">
    <w:abstractNumId w:val="27"/>
  </w:num>
  <w:num w:numId="21" w16cid:durableId="563687146">
    <w:abstractNumId w:val="21"/>
  </w:num>
  <w:num w:numId="22" w16cid:durableId="1601064944">
    <w:abstractNumId w:val="25"/>
  </w:num>
  <w:num w:numId="23" w16cid:durableId="1330912015">
    <w:abstractNumId w:val="22"/>
  </w:num>
  <w:num w:numId="24" w16cid:durableId="159467862">
    <w:abstractNumId w:val="23"/>
  </w:num>
  <w:num w:numId="25" w16cid:durableId="725493915">
    <w:abstractNumId w:val="15"/>
  </w:num>
  <w:num w:numId="26" w16cid:durableId="1888292693">
    <w:abstractNumId w:val="22"/>
  </w:num>
  <w:num w:numId="27" w16cid:durableId="1606578872">
    <w:abstractNumId w:val="23"/>
  </w:num>
  <w:num w:numId="28" w16cid:durableId="486867662">
    <w:abstractNumId w:val="19"/>
  </w:num>
  <w:num w:numId="29" w16cid:durableId="283924458">
    <w:abstractNumId w:val="17"/>
  </w:num>
  <w:num w:numId="30" w16cid:durableId="277566141">
    <w:abstractNumId w:val="4"/>
  </w:num>
  <w:num w:numId="31" w16cid:durableId="1992437828">
    <w:abstractNumId w:val="29"/>
  </w:num>
  <w:num w:numId="32" w16cid:durableId="1492451436">
    <w:abstractNumId w:val="9"/>
  </w:num>
  <w:num w:numId="33" w16cid:durableId="1937246370">
    <w:abstractNumId w:val="16"/>
  </w:num>
  <w:num w:numId="34" w16cid:durableId="1499808996">
    <w:abstractNumId w:val="20"/>
  </w:num>
  <w:num w:numId="35" w16cid:durableId="760685274">
    <w:abstractNumId w:val="7"/>
  </w:num>
  <w:num w:numId="36" w16cid:durableId="1627396147">
    <w:abstractNumId w:val="1"/>
  </w:num>
  <w:num w:numId="37" w16cid:durableId="2069957277">
    <w:abstractNumId w:val="32"/>
  </w:num>
  <w:num w:numId="38" w16cid:durableId="1244218549">
    <w:abstractNumId w:val="26"/>
  </w:num>
  <w:num w:numId="39" w16cid:durableId="1165978540">
    <w:abstractNumId w:val="18"/>
  </w:num>
  <w:num w:numId="40" w16cid:durableId="1731033668">
    <w:abstractNumId w:val="28"/>
  </w:num>
  <w:num w:numId="41" w16cid:durableId="1500080620">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5F"/>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589"/>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1F52"/>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5D"/>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AC3"/>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42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199D"/>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57E80"/>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366"/>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7EB"/>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8EB"/>
    <w:rsid w:val="001D5196"/>
    <w:rsid w:val="001D5261"/>
    <w:rsid w:val="001D5AB9"/>
    <w:rsid w:val="001D5BD1"/>
    <w:rsid w:val="001D64D3"/>
    <w:rsid w:val="001D67EE"/>
    <w:rsid w:val="001D6830"/>
    <w:rsid w:val="001D6C28"/>
    <w:rsid w:val="001D6C48"/>
    <w:rsid w:val="001D6D25"/>
    <w:rsid w:val="001D70BE"/>
    <w:rsid w:val="001D78B5"/>
    <w:rsid w:val="001D792B"/>
    <w:rsid w:val="001D7964"/>
    <w:rsid w:val="001D79F4"/>
    <w:rsid w:val="001D7E0A"/>
    <w:rsid w:val="001E0581"/>
    <w:rsid w:val="001E05E0"/>
    <w:rsid w:val="001E0A07"/>
    <w:rsid w:val="001E0B83"/>
    <w:rsid w:val="001E0DF1"/>
    <w:rsid w:val="001E1DD2"/>
    <w:rsid w:val="001E1E30"/>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1CD7"/>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044C"/>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4EE"/>
    <w:rsid w:val="00246AB8"/>
    <w:rsid w:val="00246D60"/>
    <w:rsid w:val="002472F2"/>
    <w:rsid w:val="00247C17"/>
    <w:rsid w:val="00250A0B"/>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B72"/>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9C"/>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032F"/>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82A"/>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2E8"/>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194"/>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970"/>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195"/>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5C75"/>
    <w:rsid w:val="0038614B"/>
    <w:rsid w:val="00386335"/>
    <w:rsid w:val="00386498"/>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B38"/>
    <w:rsid w:val="003C1F65"/>
    <w:rsid w:val="003C1F84"/>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506"/>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6F30"/>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412"/>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0BA0"/>
    <w:rsid w:val="00412229"/>
    <w:rsid w:val="00412653"/>
    <w:rsid w:val="00412A2B"/>
    <w:rsid w:val="00413258"/>
    <w:rsid w:val="004135E1"/>
    <w:rsid w:val="004137D9"/>
    <w:rsid w:val="004142BD"/>
    <w:rsid w:val="004145B2"/>
    <w:rsid w:val="00414B15"/>
    <w:rsid w:val="004165FE"/>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0A6"/>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53A9"/>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61BF"/>
    <w:rsid w:val="004472F0"/>
    <w:rsid w:val="00447C7D"/>
    <w:rsid w:val="00447D5B"/>
    <w:rsid w:val="00447FBA"/>
    <w:rsid w:val="00450109"/>
    <w:rsid w:val="004503F3"/>
    <w:rsid w:val="00450725"/>
    <w:rsid w:val="0045074D"/>
    <w:rsid w:val="00450B18"/>
    <w:rsid w:val="00450E2F"/>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3889"/>
    <w:rsid w:val="00484223"/>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64D"/>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003"/>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692"/>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846"/>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B29"/>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4BD"/>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296"/>
    <w:rsid w:val="0065661E"/>
    <w:rsid w:val="00656699"/>
    <w:rsid w:val="00656B68"/>
    <w:rsid w:val="00656B9E"/>
    <w:rsid w:val="00656C79"/>
    <w:rsid w:val="006573E1"/>
    <w:rsid w:val="00657A45"/>
    <w:rsid w:val="00660215"/>
    <w:rsid w:val="0066058F"/>
    <w:rsid w:val="00660860"/>
    <w:rsid w:val="00660CB2"/>
    <w:rsid w:val="00660D46"/>
    <w:rsid w:val="00660E33"/>
    <w:rsid w:val="00661214"/>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86A"/>
    <w:rsid w:val="00685BAB"/>
    <w:rsid w:val="00685E63"/>
    <w:rsid w:val="00686128"/>
    <w:rsid w:val="006864B2"/>
    <w:rsid w:val="00687114"/>
    <w:rsid w:val="00687AD7"/>
    <w:rsid w:val="00687BA7"/>
    <w:rsid w:val="00687BAB"/>
    <w:rsid w:val="006903D4"/>
    <w:rsid w:val="00690455"/>
    <w:rsid w:val="006906FC"/>
    <w:rsid w:val="00690707"/>
    <w:rsid w:val="006907E7"/>
    <w:rsid w:val="00690DF0"/>
    <w:rsid w:val="006913F6"/>
    <w:rsid w:val="0069144D"/>
    <w:rsid w:val="00691C42"/>
    <w:rsid w:val="00691D4D"/>
    <w:rsid w:val="00692753"/>
    <w:rsid w:val="006928EC"/>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7E2"/>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586"/>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564"/>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B6F"/>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1E7"/>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7DF"/>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DC2"/>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24"/>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705"/>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6F6"/>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C19"/>
    <w:rsid w:val="007D1F71"/>
    <w:rsid w:val="007D21CD"/>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05"/>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280"/>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341F"/>
    <w:rsid w:val="008146A2"/>
    <w:rsid w:val="0081482E"/>
    <w:rsid w:val="00814BCC"/>
    <w:rsid w:val="008156DC"/>
    <w:rsid w:val="00815819"/>
    <w:rsid w:val="00815CDA"/>
    <w:rsid w:val="00816673"/>
    <w:rsid w:val="00816999"/>
    <w:rsid w:val="00816BA2"/>
    <w:rsid w:val="0081793F"/>
    <w:rsid w:val="00817985"/>
    <w:rsid w:val="00817C52"/>
    <w:rsid w:val="00820149"/>
    <w:rsid w:val="00820304"/>
    <w:rsid w:val="00820A17"/>
    <w:rsid w:val="00821225"/>
    <w:rsid w:val="008219B8"/>
    <w:rsid w:val="00821DE9"/>
    <w:rsid w:val="00821DEB"/>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68E"/>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0CB9"/>
    <w:rsid w:val="00851957"/>
    <w:rsid w:val="00851967"/>
    <w:rsid w:val="0085254F"/>
    <w:rsid w:val="008530C0"/>
    <w:rsid w:val="00853573"/>
    <w:rsid w:val="0085364B"/>
    <w:rsid w:val="00853974"/>
    <w:rsid w:val="008539F6"/>
    <w:rsid w:val="00853B5E"/>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345"/>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5C13"/>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18"/>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AFB"/>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2E3B"/>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22F"/>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0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7D3"/>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1FA8"/>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6D3"/>
    <w:rsid w:val="00A0599A"/>
    <w:rsid w:val="00A05D36"/>
    <w:rsid w:val="00A05F35"/>
    <w:rsid w:val="00A06384"/>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7DE"/>
    <w:rsid w:val="00A33CA2"/>
    <w:rsid w:val="00A342B7"/>
    <w:rsid w:val="00A354EA"/>
    <w:rsid w:val="00A35826"/>
    <w:rsid w:val="00A35C0E"/>
    <w:rsid w:val="00A35E2F"/>
    <w:rsid w:val="00A3619E"/>
    <w:rsid w:val="00A36626"/>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B766D"/>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535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4AE1"/>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E09"/>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3F94"/>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5E1C"/>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5B41"/>
    <w:rsid w:val="00C05EB6"/>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D35"/>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127"/>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A7A6E"/>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17"/>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2F4D"/>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914"/>
    <w:rsid w:val="00D34C13"/>
    <w:rsid w:val="00D34DF8"/>
    <w:rsid w:val="00D35237"/>
    <w:rsid w:val="00D358C8"/>
    <w:rsid w:val="00D35EF0"/>
    <w:rsid w:val="00D374AF"/>
    <w:rsid w:val="00D37713"/>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6A7"/>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5F4D"/>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754"/>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1617"/>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0CEF"/>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AB6"/>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53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2D0E"/>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09BE"/>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A2"/>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0EC7"/>
    <w:rsid w:val="00F8144F"/>
    <w:rsid w:val="00F8145A"/>
    <w:rsid w:val="00F815AA"/>
    <w:rsid w:val="00F81CB5"/>
    <w:rsid w:val="00F82710"/>
    <w:rsid w:val="00F82743"/>
    <w:rsid w:val="00F82CE0"/>
    <w:rsid w:val="00F840FD"/>
    <w:rsid w:val="00F84452"/>
    <w:rsid w:val="00F844B7"/>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1FB6"/>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4274"/>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44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C19"/>
    <w:pPr>
      <w:spacing w:after="160" w:line="259" w:lineRule="auto"/>
    </w:pPr>
    <w:rPr>
      <w:rFonts w:asciiTheme="minorHAnsi" w:eastAsiaTheme="minorEastAsia" w:hAnsiTheme="minorHAnsi" w:cstheme="minorBidi"/>
      <w:kern w:val="2"/>
      <w:sz w:val="22"/>
      <w:szCs w:val="22"/>
      <w:lang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7D1C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1C1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uiPriority w:val="99"/>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uiPriority w:val="99"/>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815</Words>
  <Characters>4649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2024-02-19T17:23:00Z</dcterms:created>
  <dcterms:modified xsi:type="dcterms:W3CDTF">2024-02-19T17:23:00Z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